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5D" w:rsidRDefault="007F785D">
      <w:pPr>
        <w:pBdr>
          <w:bottom w:val="single" w:sz="6" w:space="1" w:color="auto"/>
        </w:pBdr>
      </w:pPr>
      <w:r>
        <w:t xml:space="preserve">Tema: Productos </w:t>
      </w:r>
      <w:proofErr w:type="gramStart"/>
      <w:r>
        <w:t>farmacéuticos ,</w:t>
      </w:r>
      <w:proofErr w:type="gramEnd"/>
      <w:r>
        <w:t xml:space="preserve"> conceptos básicos. </w:t>
      </w:r>
      <w:proofErr w:type="gramStart"/>
      <w:r>
        <w:t xml:space="preserve">( </w:t>
      </w:r>
      <w:proofErr w:type="spellStart"/>
      <w:r>
        <w:t>Amplia</w:t>
      </w:r>
      <w:proofErr w:type="spellEnd"/>
      <w:proofErr w:type="gramEnd"/>
      <w:r>
        <w:t xml:space="preserve"> el conocimiento del tema 1.)</w:t>
      </w:r>
    </w:p>
    <w:p w:rsidR="00263EB6" w:rsidRDefault="007F785D">
      <w:r>
        <w:t xml:space="preserve">Tema: </w:t>
      </w:r>
      <w:r w:rsidRPr="007F785D">
        <w:rPr>
          <w:b/>
        </w:rPr>
        <w:t>dispensación bajo prescripción</w:t>
      </w:r>
      <w:r>
        <w:t xml:space="preserve"> </w:t>
      </w:r>
    </w:p>
    <w:p w:rsidR="006158ED" w:rsidRDefault="00263EB6">
      <w:r>
        <w:t>Dispensación renovable o no renovable: Página 21.</w:t>
      </w:r>
    </w:p>
    <w:p w:rsidR="00263EB6" w:rsidRDefault="00263EB6">
      <w:r>
        <w:t>Estupefacientes.</w:t>
      </w:r>
    </w:p>
    <w:p w:rsidR="00263EB6" w:rsidRDefault="00263EB6"/>
    <w:p w:rsidR="00263EB6" w:rsidRDefault="00263EB6">
      <w:r>
        <w:t xml:space="preserve"> Página 23: Medicamentos de uso restringido: H, DH, ECM.</w:t>
      </w:r>
    </w:p>
    <w:p w:rsidR="00263EB6" w:rsidRDefault="00263EB6">
      <w:r>
        <w:t>Página 24</w:t>
      </w:r>
      <w:proofErr w:type="gramStart"/>
      <w:r>
        <w:t>,25,26,27,28</w:t>
      </w:r>
      <w:proofErr w:type="gramEnd"/>
      <w:r>
        <w:t>: Embalaje.</w:t>
      </w:r>
    </w:p>
    <w:p w:rsidR="00263EB6" w:rsidRDefault="00263EB6">
      <w:pPr>
        <w:pBdr>
          <w:bottom w:val="single" w:sz="6" w:space="1" w:color="auto"/>
        </w:pBdr>
      </w:pPr>
      <w:proofErr w:type="gramStart"/>
      <w:r>
        <w:t>Visado :</w:t>
      </w:r>
      <w:proofErr w:type="gramEnd"/>
      <w:r>
        <w:t xml:space="preserve"> 30,31,32.</w:t>
      </w:r>
    </w:p>
    <w:p w:rsidR="00263EB6" w:rsidRDefault="00263EB6">
      <w:r>
        <w:t>AEMPS: Medicamentos de uso Humano.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6" w:tgtFrame="_blank" w:tooltip="Se abrirá en una nueva ventana a la página https://cima.aemps.es/cima/publico/home.html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CIMA: Centro de Información Online de Medicamentos de la AEMPS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7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Boletín mensual de la AEMPS sobre medicamentos de uso humano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8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Farmacovigilancia de Medicamentos de Uso Humano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9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Informes de posicionamiento terapéutico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0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Investigación clínica con medicamentos de uso humano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1" w:tgtFrame="_blank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Registro Español de Estudios Clínicos con medicamentos de uso humano (REec)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2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Oficina de apoyo a la innovación y conocimiento sobre medicamentos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3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Observatorio del Uso de Medicamentos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4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Arbitrajes de la Unión Europea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5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Problemas de suministro de medicamentos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6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Acceso a medicamentos en situaciones especiales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7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Medicamentos no sustituibles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8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Vacunas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19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Terapias avanzadas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20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Estupefacientes y Psicótropos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21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Medicamentos ilegales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22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Legislación sobre medicamentos de uso humano</w:t>
        </w:r>
      </w:hyperlink>
    </w:p>
    <w:p w:rsidR="00263EB6" w:rsidRPr="00263EB6" w:rsidRDefault="00263EB6" w:rsidP="00263EB6">
      <w:pPr>
        <w:shd w:val="clear" w:color="auto" w:fill="828282"/>
        <w:spacing w:after="0" w:line="240" w:lineRule="auto"/>
        <w:ind w:left="720"/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</w:pPr>
      <w:r w:rsidRPr="00263EB6">
        <w:rPr>
          <w:rFonts w:ascii="Open Sans" w:eastAsia="Times New Roman" w:hAnsi="Open Sans" w:cs="Times New Roman"/>
          <w:color w:val="767676"/>
          <w:spacing w:val="-4"/>
          <w:sz w:val="21"/>
          <w:szCs w:val="21"/>
          <w:lang w:eastAsia="es-ES"/>
        </w:rPr>
        <w:lastRenderedPageBreak/>
        <w:t> </w:t>
      </w:r>
    </w:p>
    <w:p w:rsidR="00263EB6" w:rsidRPr="00263EB6" w:rsidRDefault="00263EB6" w:rsidP="00263EB6">
      <w:pPr>
        <w:numPr>
          <w:ilvl w:val="0"/>
          <w:numId w:val="1"/>
        </w:numPr>
        <w:shd w:val="clear" w:color="auto" w:fill="828282"/>
        <w:spacing w:after="0" w:line="270" w:lineRule="atLeast"/>
        <w:ind w:left="690" w:right="-30"/>
        <w:rPr>
          <w:rFonts w:ascii="Open Sans" w:eastAsia="Times New Roman" w:hAnsi="Open Sans" w:cs="Times New Roman"/>
          <w:color w:val="767676"/>
          <w:spacing w:val="-4"/>
          <w:sz w:val="20"/>
          <w:szCs w:val="20"/>
          <w:lang w:eastAsia="es-ES"/>
        </w:rPr>
      </w:pPr>
      <w:hyperlink r:id="rId23" w:history="1">
        <w:r w:rsidRPr="00263EB6">
          <w:rPr>
            <w:rFonts w:ascii="Open Sans" w:eastAsia="Times New Roman" w:hAnsi="Open Sans" w:cs="Times New Roman"/>
            <w:b/>
            <w:bCs/>
            <w:caps/>
            <w:color w:val="FFFFFF"/>
            <w:spacing w:val="-4"/>
            <w:sz w:val="21"/>
            <w:szCs w:val="21"/>
            <w:lang w:eastAsia="es-ES"/>
          </w:rPr>
          <w:t>Homeopáticos</w:t>
        </w:r>
      </w:hyperlink>
    </w:p>
    <w:p w:rsidR="007F785D" w:rsidRDefault="007F785D"/>
    <w:p w:rsidR="00263EB6" w:rsidRDefault="007F785D">
      <w:r>
        <w:t xml:space="preserve">Tema : </w:t>
      </w:r>
      <w:r w:rsidR="00E529B9">
        <w:t>Acondicio</w:t>
      </w:r>
      <w:r>
        <w:t>na</w:t>
      </w:r>
      <w:bookmarkStart w:id="0" w:name="_GoBack"/>
      <w:bookmarkEnd w:id="0"/>
      <w:r w:rsidR="00E529B9">
        <w:t>miento de Medicamentos:</w:t>
      </w:r>
    </w:p>
    <w:p w:rsidR="00263EB6" w:rsidRDefault="00263EB6">
      <w:r>
        <w:t>Página 4: Tipos de acondicionamiento.</w:t>
      </w:r>
    </w:p>
    <w:p w:rsidR="00263EB6" w:rsidRDefault="007B4BB2">
      <w:r>
        <w:t>Página 5, 6 y 7: Acondicionamientos diferentes al original.</w:t>
      </w:r>
    </w:p>
    <w:p w:rsidR="007B4BB2" w:rsidRDefault="007B4BB2">
      <w:r>
        <w:t>Página 11: Los productos según la numeración.</w:t>
      </w:r>
    </w:p>
    <w:p w:rsidR="007B4BB2" w:rsidRDefault="007B4BB2">
      <w:r>
        <w:t>Página 12: Pictogramas.</w:t>
      </w:r>
    </w:p>
    <w:p w:rsidR="007B4BB2" w:rsidRPr="007B4BB2" w:rsidRDefault="007B4BB2">
      <w:pPr>
        <w:rPr>
          <w:b/>
        </w:rPr>
      </w:pPr>
      <w:r w:rsidRPr="007B4BB2">
        <w:rPr>
          <w:b/>
        </w:rPr>
        <w:t xml:space="preserve">Página 13-20: Hay que  saberlo. </w:t>
      </w:r>
    </w:p>
    <w:sectPr w:rsidR="007B4BB2" w:rsidRPr="007B4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223"/>
    <w:multiLevelType w:val="multilevel"/>
    <w:tmpl w:val="F0D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B6"/>
    <w:rsid w:val="00263EB6"/>
    <w:rsid w:val="006158ED"/>
    <w:rsid w:val="007B4BB2"/>
    <w:rsid w:val="007F785D"/>
    <w:rsid w:val="00E5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mps.gob.es/medicamentos-de-uso-humano/farmacovigilancia-de-medicamentos-de-uso-humano/" TargetMode="External"/><Relationship Id="rId13" Type="http://schemas.openxmlformats.org/officeDocument/2006/relationships/hyperlink" Target="https://www.aemps.gob.es/medicamentos-de-uso-humano/observatorio-de-uso-de-medicamentos/" TargetMode="External"/><Relationship Id="rId18" Type="http://schemas.openxmlformats.org/officeDocument/2006/relationships/hyperlink" Target="https://www.aemps.gob.es/medicamentos-de-uso-humano/vacuna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emps.gob.es/medicamentos-de-uso-humano/medicamentos-ilegales/" TargetMode="External"/><Relationship Id="rId7" Type="http://schemas.openxmlformats.org/officeDocument/2006/relationships/hyperlink" Target="https://www.aemps.gob.es/medicamentos-de-uso-humano/boletin-mensual-de-la-aemps-sobre-medicamentos-de-uso-humano/" TargetMode="External"/><Relationship Id="rId12" Type="http://schemas.openxmlformats.org/officeDocument/2006/relationships/hyperlink" Target="https://www.aemps.gob.es/medicamentos-de-uso-humano/oficina-de-apoyo-a-la-innovacion-y-conocimiento-sobre-medicamentos/" TargetMode="External"/><Relationship Id="rId17" Type="http://schemas.openxmlformats.org/officeDocument/2006/relationships/hyperlink" Target="https://www.aemps.gob.es/medicamentos-de-uso-humano/medicamentos-no-sustituibl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emps.gob.es/medicamentos-de-uso-humano/acceso-a-medicamentos-en-situaciones-especiales/" TargetMode="External"/><Relationship Id="rId20" Type="http://schemas.openxmlformats.org/officeDocument/2006/relationships/hyperlink" Target="https://www.aemps.gob.es/medicamentos-de-uso-humano/estupefacientes-y-psicotrop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ma.aemps.es/" TargetMode="External"/><Relationship Id="rId11" Type="http://schemas.openxmlformats.org/officeDocument/2006/relationships/hyperlink" Target="https://reec.aemps.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emps.gob.es/distribucion-de-medicamentos/problemas-de-suministro-de-medicamentos/" TargetMode="External"/><Relationship Id="rId23" Type="http://schemas.openxmlformats.org/officeDocument/2006/relationships/hyperlink" Target="https://www.aemps.gob.es/medicamentos-de-uso-humano/homeopaticos/" TargetMode="External"/><Relationship Id="rId10" Type="http://schemas.openxmlformats.org/officeDocument/2006/relationships/hyperlink" Target="https://www.aemps.gob.es/medicamentos-de-uso-humano/investigacionclinica_medicamentos/" TargetMode="External"/><Relationship Id="rId19" Type="http://schemas.openxmlformats.org/officeDocument/2006/relationships/hyperlink" Target="https://www.aemps.gob.es/medicamentos-de-uso-humano/terapias-avanzad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mps.gob.es/medicamentos-de-uso-humano/informes-de-posicionamiento-terapeutico/" TargetMode="External"/><Relationship Id="rId14" Type="http://schemas.openxmlformats.org/officeDocument/2006/relationships/hyperlink" Target="https://www.aemps.gob.es/medicamentos-de-uso-humano/arbitrajes-de-la-union-europea-de-medicamentos-de-uso-humano/" TargetMode="External"/><Relationship Id="rId22" Type="http://schemas.openxmlformats.org/officeDocument/2006/relationships/hyperlink" Target="https://www.aemps.gob.es/medicamentos-de-uso-humano/legislacion_espana_medicamentosusohuma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2019-10-29T08:25:00Z</dcterms:created>
  <dcterms:modified xsi:type="dcterms:W3CDTF">2019-10-29T09:34:00Z</dcterms:modified>
</cp:coreProperties>
</file>